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70" w:rsidRPr="007E5D3A" w:rsidRDefault="004D1099" w:rsidP="007E5D3A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B</w:t>
      </w:r>
      <w:r w:rsidR="004F4870"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>- del singolo lotto</w:t>
      </w:r>
    </w:p>
    <w:p w:rsidR="004F4870" w:rsidRPr="007E5D3A" w:rsidRDefault="004F4870" w:rsidP="007E5D3A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SCHEDA OFFERTA </w:t>
      </w:r>
      <w:r w:rsidR="00A07009" w:rsidRPr="007E5D3A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TECNICA</w:t>
      </w:r>
    </w:p>
    <w:p w:rsidR="004F4870" w:rsidRPr="007E5D3A" w:rsidRDefault="004F4870" w:rsidP="007E5D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2 – POLIZZA ALL RISKS PROVINCIA DI TERAMO</w:t>
      </w: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4D1099"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30/09/2019</w:t>
      </w:r>
      <w:r w:rsidR="007E5D3A"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- </w:t>
      </w:r>
      <w:r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 per l’affidamento del Lotto 2 – POLIZZA ALL RISKS.</w:t>
      </w: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FC29D5" w:rsidRDefault="00FC29D5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FC29D5" w:rsidRDefault="00FC29D5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C29D5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in qualità di ………………………………………… della </w:t>
      </w:r>
    </w:p>
    <w:p w:rsidR="00FC29D5" w:rsidRDefault="00FC29D5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Compagnia……………………………………………………………………..</w:t>
      </w:r>
    </w:p>
    <w:p w:rsidR="00FC29D5" w:rsidRDefault="00FC29D5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FC29D5" w:rsidRDefault="00FC29D5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E5D3A" w:rsidRDefault="004F4870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7E5D3A" w:rsidRDefault="007E5D3A" w:rsidP="007E5D3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E5D3A" w:rsidRDefault="00B450AB" w:rsidP="001F59E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 LE SEGUENTI VARIANTI TECNICHE</w:t>
      </w:r>
    </w:p>
    <w:p w:rsidR="007E5D3A" w:rsidRDefault="007E5D3A" w:rsidP="001F59E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CONTRASSERGNARE</w:t>
      </w:r>
      <w:r w:rsidR="00C43D63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="00D86B1C"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CON </w:t>
      </w:r>
      <w:r w:rsidR="00C43D63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X </w:t>
      </w:r>
      <w:bookmarkStart w:id="0" w:name="_GoBack"/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LA VARIANTE </w:t>
      </w:r>
      <w:r w:rsidR="00581564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</w:t>
      </w:r>
      <w:bookmarkEnd w:id="0"/>
    </w:p>
    <w:p w:rsidR="00B450AB" w:rsidRDefault="00370DE8" w:rsidP="001F59E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(NEL CASO DI INDICAZIONE DI 2 VARIANTI </w:t>
      </w:r>
      <w:r w:rsidR="00C43D63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ALTERNATIVE</w:t>
      </w:r>
      <w:r w:rsidRPr="007E5D3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VERRA’ CONSIDERATA QUELLA CON PUNTEGGIO MAGGIORE)</w:t>
      </w:r>
    </w:p>
    <w:p w:rsidR="00F32F66" w:rsidRDefault="00F32F66" w:rsidP="001F59E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4294"/>
        <w:gridCol w:w="2318"/>
        <w:gridCol w:w="1426"/>
        <w:gridCol w:w="899"/>
      </w:tblGrid>
      <w:tr w:rsidR="00F32F66" w:rsidRPr="007E5D3A" w:rsidTr="00B37EAA">
        <w:tc>
          <w:tcPr>
            <w:tcW w:w="917" w:type="dxa"/>
          </w:tcPr>
          <w:p w:rsidR="00F32F66" w:rsidRPr="007E5D3A" w:rsidRDefault="00F32F66" w:rsidP="009936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Variante Numero</w:t>
            </w:r>
          </w:p>
        </w:tc>
        <w:tc>
          <w:tcPr>
            <w:tcW w:w="4294" w:type="dxa"/>
          </w:tcPr>
          <w:p w:rsidR="00F32F66" w:rsidRPr="007E5D3A" w:rsidRDefault="00F32F66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Testo Opzione</w:t>
            </w:r>
          </w:p>
        </w:tc>
        <w:tc>
          <w:tcPr>
            <w:tcW w:w="2318" w:type="dxa"/>
          </w:tcPr>
          <w:p w:rsidR="00F32F66" w:rsidRPr="007E5D3A" w:rsidRDefault="00F32F66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Note</w:t>
            </w:r>
          </w:p>
        </w:tc>
        <w:tc>
          <w:tcPr>
            <w:tcW w:w="1426" w:type="dxa"/>
          </w:tcPr>
          <w:p w:rsidR="00F32F66" w:rsidRPr="007E5D3A" w:rsidRDefault="00F32F66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Contrassegnare</w:t>
            </w:r>
          </w:p>
        </w:tc>
        <w:tc>
          <w:tcPr>
            <w:tcW w:w="899" w:type="dxa"/>
          </w:tcPr>
          <w:p w:rsidR="00F32F66" w:rsidRPr="007E5D3A" w:rsidRDefault="00F32F66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Punti</w:t>
            </w:r>
          </w:p>
        </w:tc>
      </w:tr>
      <w:tr w:rsidR="00F32F66" w:rsidRPr="007E5D3A" w:rsidTr="00EC705A">
        <w:tc>
          <w:tcPr>
            <w:tcW w:w="917" w:type="dxa"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94" w:type="dxa"/>
          </w:tcPr>
          <w:p w:rsidR="00F32F66" w:rsidRPr="007E5D3A" w:rsidRDefault="00F32F66" w:rsidP="0099367D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5D3A">
              <w:rPr>
                <w:rFonts w:ascii="Times New Roman" w:hAnsi="Times New Roman" w:cs="Times New Roman"/>
                <w:sz w:val="18"/>
                <w:szCs w:val="18"/>
              </w:rPr>
              <w:t xml:space="preserve">Relativamente </w:t>
            </w:r>
            <w:r w:rsidR="0099367D">
              <w:rPr>
                <w:rFonts w:ascii="Times New Roman" w:hAnsi="Times New Roman" w:cs="Times New Roman"/>
                <w:sz w:val="18"/>
                <w:szCs w:val="18"/>
              </w:rPr>
              <w:t>alla partita</w:t>
            </w:r>
            <w:r w:rsidRPr="007E5D3A">
              <w:rPr>
                <w:rFonts w:ascii="Times New Roman" w:hAnsi="Times New Roman" w:cs="Times New Roman"/>
                <w:sz w:val="18"/>
                <w:szCs w:val="18"/>
              </w:rPr>
              <w:t xml:space="preserve"> 7 </w:t>
            </w:r>
            <w:r w:rsidR="00675B95">
              <w:rPr>
                <w:rFonts w:ascii="Times New Roman" w:hAnsi="Times New Roman" w:cs="Times New Roman"/>
                <w:sz w:val="18"/>
                <w:szCs w:val="18"/>
              </w:rPr>
              <w:t xml:space="preserve">“Elettronica”, </w:t>
            </w:r>
            <w:r w:rsidRPr="007E5D3A">
              <w:rPr>
                <w:rFonts w:ascii="Times New Roman" w:hAnsi="Times New Roman" w:cs="Times New Roman"/>
                <w:sz w:val="18"/>
                <w:szCs w:val="18"/>
              </w:rPr>
              <w:t xml:space="preserve">in deroga all’art 1907 c.c., non è operante il disposto di cui all’art 17 Assicurazione Parziale, pertanto per tali partite l’assicurazione opera nella cosiddetta forma a PRIMO RISCHIO ASSOLUTO. </w:t>
            </w:r>
          </w:p>
        </w:tc>
        <w:tc>
          <w:tcPr>
            <w:tcW w:w="2318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Si rende operante a 1° RA anche la Sezione Elettronica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DE06A7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F32F66" w:rsidRPr="007E5D3A" w:rsidTr="00EC705A">
        <w:tc>
          <w:tcPr>
            <w:tcW w:w="917" w:type="dxa"/>
            <w:vMerge w:val="restart"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294" w:type="dxa"/>
          </w:tcPr>
          <w:p w:rsidR="00F32F66" w:rsidRPr="007E5D3A" w:rsidRDefault="00F32F66" w:rsidP="009936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5D3A">
              <w:rPr>
                <w:rFonts w:ascii="Times New Roman" w:hAnsi="Times New Roman" w:cs="Times New Roman"/>
                <w:sz w:val="18"/>
                <w:szCs w:val="18"/>
              </w:rPr>
              <w:t>I danni a tettoie o fabbricati aperti da uno o più lati od incompleti nelle coperture o nei serramenti, capannoni pressostatici, tensostrutture, tendostrutture e simili, baracche in legno o plastica,  e quanto in esso contenuto, sono compresi nei limiti di euro 250.000,00 per sinistro ed anno assicurativo e con l’applicazione di uno scoperto del 10% con il minimo di euro 2.500,00</w:t>
            </w:r>
          </w:p>
        </w:tc>
        <w:tc>
          <w:tcPr>
            <w:tcW w:w="2318" w:type="dxa"/>
          </w:tcPr>
          <w:p w:rsidR="00F32F66" w:rsidRPr="006E27FE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Si estende la garanzia per eventi atmosferici ai fabbricati aperti e altre tipologie di strutture</w:t>
            </w:r>
            <w:r w:rsidR="006E27F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fino a 250.000 euro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DE06A7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  <w:tr w:rsidR="00F32F66" w:rsidRPr="007E5D3A" w:rsidTr="00EC705A">
        <w:tc>
          <w:tcPr>
            <w:tcW w:w="917" w:type="dxa"/>
            <w:vMerge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hAnsi="Times New Roman" w:cs="Times New Roman"/>
                <w:sz w:val="18"/>
                <w:szCs w:val="18"/>
              </w:rPr>
              <w:t>I danni a tettoie o fabbricati aperti da uno o più lati od incompleti nelle coperture o nei serramenti, capannoni pressostatici, tensostrutture, tendostrutture e simili, baracche in legno o plastica,  e quanto in esso contenuto, sono compresi nei limiti di euro 500.000,00 per sinistro ed anno assicurativo e con l’applicazione di uno scoperto del 10% con il minimo di euro 2.500,00</w:t>
            </w:r>
          </w:p>
        </w:tc>
        <w:tc>
          <w:tcPr>
            <w:tcW w:w="2318" w:type="dxa"/>
          </w:tcPr>
          <w:p w:rsidR="00F32F66" w:rsidRPr="006E27FE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Si estende la garanzia per eventi atmosferici ai fabbricati aperti e altre tipologie di strutture</w:t>
            </w:r>
            <w:r w:rsidR="006E27F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fino a 500.000 euro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DE06A7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F32F66" w:rsidRPr="007E5D3A" w:rsidTr="00EC705A">
        <w:tc>
          <w:tcPr>
            <w:tcW w:w="917" w:type="dxa"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294" w:type="dxa"/>
          </w:tcPr>
          <w:p w:rsidR="00F32F66" w:rsidRPr="007E5D3A" w:rsidRDefault="00DF1CB2" w:rsidP="00DF1CB2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Il limite di indennizzo per TERREMOTO viene aumentato al </w:t>
            </w:r>
            <w:r w:rsidR="00F32F66" w:rsidRPr="007E5D3A">
              <w:rPr>
                <w:rFonts w:ascii="Times New Roman" w:hAnsi="Times New Roman" w:cs="Times New Roman"/>
                <w:sz w:val="18"/>
                <w:szCs w:val="18"/>
              </w:rPr>
              <w:t>50% delle somme assicurate per singolo 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bbricato e relativo contenuto</w:t>
            </w:r>
          </w:p>
        </w:tc>
        <w:tc>
          <w:tcPr>
            <w:tcW w:w="2318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limite indennizzo TERREMOTO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  <w:tr w:rsidR="00F32F66" w:rsidRPr="007E5D3A" w:rsidTr="00EC705A">
        <w:tc>
          <w:tcPr>
            <w:tcW w:w="917" w:type="dxa"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294" w:type="dxa"/>
          </w:tcPr>
          <w:p w:rsidR="00F32F66" w:rsidRPr="007E5D3A" w:rsidRDefault="008B5C2A" w:rsidP="008B5C2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Il limite di indennizzo per </w:t>
            </w: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INONDAZIONI,ALLUVIONI,ALLAGAMENTI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viene aumentato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2F66" w:rsidRPr="007E5D3A">
              <w:rPr>
                <w:rFonts w:ascii="Times New Roman" w:hAnsi="Times New Roman" w:cs="Times New Roman"/>
                <w:sz w:val="18"/>
                <w:szCs w:val="18"/>
              </w:rPr>
              <w:t>50% delle somme assicurate per singolo 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bbricato e relativo contenuto</w:t>
            </w:r>
          </w:p>
        </w:tc>
        <w:tc>
          <w:tcPr>
            <w:tcW w:w="2318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limite indennizzo INONDAZIONI,ALLUVIONI,ALLAGAMENTI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  <w:tr w:rsidR="00F32F66" w:rsidRPr="007E5D3A" w:rsidTr="00EC705A">
        <w:tc>
          <w:tcPr>
            <w:tcW w:w="917" w:type="dxa"/>
            <w:vAlign w:val="center"/>
          </w:tcPr>
          <w:p w:rsidR="00F32F66" w:rsidRPr="007E5D3A" w:rsidRDefault="00F32F66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4294" w:type="dxa"/>
          </w:tcPr>
          <w:p w:rsidR="00F32F66" w:rsidRPr="007E5D3A" w:rsidRDefault="00824EF4" w:rsidP="00824EF4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Il limite di indennizzo per </w:t>
            </w: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SOVRACCARICO NEVE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F32F66" w:rsidRPr="007E5D3A">
              <w:rPr>
                <w:rFonts w:ascii="Times New Roman" w:hAnsi="Times New Roman" w:cs="Times New Roman"/>
                <w:sz w:val="18"/>
                <w:szCs w:val="18"/>
              </w:rPr>
              <w:t>25% delle somme assicurate per singolo fa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bbricato e relativo contenuto</w:t>
            </w:r>
          </w:p>
        </w:tc>
        <w:tc>
          <w:tcPr>
            <w:tcW w:w="2318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limite indennizzo SOVRACCARICO NEVE</w:t>
            </w:r>
          </w:p>
        </w:tc>
        <w:tc>
          <w:tcPr>
            <w:tcW w:w="1426" w:type="dxa"/>
          </w:tcPr>
          <w:p w:rsidR="00F32F66" w:rsidRPr="007E5D3A" w:rsidRDefault="00F32F66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F32F66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</w:tbl>
    <w:p w:rsidR="00F32F66" w:rsidRDefault="00F32F66" w:rsidP="0099367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D77623" w:rsidRPr="007E5D3A" w:rsidRDefault="00D77623" w:rsidP="00D7762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Luogo e Data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D77623" w:rsidRPr="007E5D3A" w:rsidRDefault="00D77623" w:rsidP="00D7762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D77623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D77623" w:rsidRPr="007E5D3A" w:rsidRDefault="00D77623" w:rsidP="00D77623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D77623" w:rsidRDefault="00D77623" w:rsidP="00D7762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53B2C" w:rsidRDefault="00A53B2C" w:rsidP="0099367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4294"/>
        <w:gridCol w:w="2318"/>
        <w:gridCol w:w="1426"/>
        <w:gridCol w:w="899"/>
      </w:tblGrid>
      <w:tr w:rsidR="00A53B2C" w:rsidRPr="007E5D3A" w:rsidTr="00EC705A">
        <w:tc>
          <w:tcPr>
            <w:tcW w:w="917" w:type="dxa"/>
            <w:vMerge w:val="restart"/>
            <w:vAlign w:val="center"/>
          </w:tcPr>
          <w:p w:rsidR="00A53B2C" w:rsidRPr="007E5D3A" w:rsidRDefault="00A53B2C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294" w:type="dxa"/>
          </w:tcPr>
          <w:p w:rsidR="00A53B2C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La condizione STOP LOSS viene sostituita dalla seguente:</w:t>
            </w:r>
          </w:p>
          <w:p w:rsidR="00A53B2C" w:rsidRPr="007E5D3A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E5D3A">
              <w:rPr>
                <w:rFonts w:ascii="Times New Roman" w:hAnsi="Times New Roman"/>
                <w:b w:val="0"/>
                <w:sz w:val="18"/>
                <w:szCs w:val="18"/>
              </w:rPr>
              <w:t>Determinato il danno a termini di polizza, al netto di eventuali scoperti/franchigie, in nessun caso la Società sarà tenuta a pagare per singolo sinistro e per annualità assicurativa somma maggiore di € 20.000.000,00  sia per danni materiali che per danni indiretti (se operante l'estensione di garanzia).</w:t>
            </w:r>
          </w:p>
        </w:tc>
        <w:tc>
          <w:tcPr>
            <w:tcW w:w="2318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STOP LOSS ad euro 20.000.000</w:t>
            </w:r>
          </w:p>
        </w:tc>
        <w:tc>
          <w:tcPr>
            <w:tcW w:w="1426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A53B2C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A53B2C" w:rsidRPr="007E5D3A" w:rsidTr="00EC705A">
        <w:tc>
          <w:tcPr>
            <w:tcW w:w="917" w:type="dxa"/>
            <w:vMerge/>
          </w:tcPr>
          <w:p w:rsidR="00A53B2C" w:rsidRPr="007E5D3A" w:rsidRDefault="00A53B2C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A53B2C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La condizione STOP LOSS viene sostituita dalla seguente:</w:t>
            </w:r>
          </w:p>
          <w:p w:rsidR="00A53B2C" w:rsidRPr="007E5D3A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E5D3A">
              <w:rPr>
                <w:rFonts w:ascii="Times New Roman" w:hAnsi="Times New Roman"/>
                <w:b w:val="0"/>
                <w:sz w:val="18"/>
                <w:szCs w:val="18"/>
              </w:rPr>
              <w:t>Determinato il danno a termini di polizza, al netto di eventuali scoperti/franchigie, in nessun caso la Società sarà tenuta a pagare per singolo sinistro e per annualità assicurativa somma maggiore di € 25.000.000,00  sia per danni materiali che per danni indiretti (se operante l'estensione di garanzia).</w:t>
            </w:r>
          </w:p>
        </w:tc>
        <w:tc>
          <w:tcPr>
            <w:tcW w:w="2318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Aumento STOP LOSS ad euro 25.000.000</w:t>
            </w:r>
          </w:p>
        </w:tc>
        <w:tc>
          <w:tcPr>
            <w:tcW w:w="1426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A53B2C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  <w:tr w:rsidR="00A53B2C" w:rsidRPr="007E5D3A" w:rsidTr="00EC705A">
        <w:tc>
          <w:tcPr>
            <w:tcW w:w="917" w:type="dxa"/>
            <w:vMerge w:val="restart"/>
            <w:vAlign w:val="center"/>
          </w:tcPr>
          <w:p w:rsidR="00A53B2C" w:rsidRPr="007E5D3A" w:rsidRDefault="00A53B2C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294" w:type="dxa"/>
          </w:tcPr>
          <w:p w:rsidR="00464EC0" w:rsidRPr="00464EC0" w:rsidRDefault="00464EC0" w:rsidP="00464E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4EC0">
              <w:rPr>
                <w:rFonts w:ascii="Times New Roman" w:hAnsi="Times New Roman" w:cs="Times New Roman"/>
                <w:sz w:val="18"/>
                <w:szCs w:val="18"/>
              </w:rPr>
              <w:t>Indennizzo a Primo Rischio Assoluto</w:t>
            </w:r>
          </w:p>
          <w:p w:rsidR="00A53B2C" w:rsidRPr="00464EC0" w:rsidRDefault="00A53B2C" w:rsidP="00B37E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E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 caso di sinistro indennizzabile a termini di polizza che abbia colpito una o più partite soggette all’applicazione dell’Art. 17 “Assicurazione parziale”, qualora l’ammontare del danno accertato relativamente a dette partite (determinato secondo le stime di cui agli artt. 15, limitatamente alle sole cose danneggiate o distrutte al lordo di eventuali franchigie o scoperti), risulti uguale o inferiore a 100.000,00 EURO, la Società indennizza tale danno alle condizioni tutte di polizza senza applicazione della regola proporzionale prevista dal predetto art. 17.</w:t>
            </w:r>
          </w:p>
        </w:tc>
        <w:tc>
          <w:tcPr>
            <w:tcW w:w="2318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Introduzione PRIMO RISCHIO per sinistri fino a 100.000 euro</w:t>
            </w:r>
          </w:p>
        </w:tc>
        <w:tc>
          <w:tcPr>
            <w:tcW w:w="1426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A53B2C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A53B2C" w:rsidRPr="007E5D3A" w:rsidTr="00EC705A">
        <w:tc>
          <w:tcPr>
            <w:tcW w:w="917" w:type="dxa"/>
            <w:vMerge/>
            <w:vAlign w:val="center"/>
          </w:tcPr>
          <w:p w:rsidR="00A53B2C" w:rsidRPr="007E5D3A" w:rsidRDefault="00A53B2C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464EC0" w:rsidRPr="00464EC0" w:rsidRDefault="00464EC0" w:rsidP="00464E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4EC0">
              <w:rPr>
                <w:rFonts w:ascii="Times New Roman" w:hAnsi="Times New Roman" w:cs="Times New Roman"/>
                <w:sz w:val="18"/>
                <w:szCs w:val="18"/>
              </w:rPr>
              <w:t>Indennizzo a Primo Rischio Assoluto</w:t>
            </w:r>
          </w:p>
          <w:p w:rsidR="00A53B2C" w:rsidRPr="00464EC0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64EC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In caso di sinistro indennizzabile a termini di polizza che abbia colpito una o più partite soggette all’applicazione dell’Art. 17 “Assicurazione parziale”, qualora l’ammontare del danno accertato relativamente a dette partite (determinato secondo le stime di cui agli artt. 15, limitatamente alle sole cose danneggiate o distrutte al lordo di eventuali franchigie o scoperti), risulti uguale o inferiore a 500.000,00 EURO, la Società indennizza tale danno alle condizioni tutte di polizza senza applicazione della regola proporzionale prevista dal predetto art. 17.</w:t>
            </w:r>
          </w:p>
        </w:tc>
        <w:tc>
          <w:tcPr>
            <w:tcW w:w="2318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Introduzione PRIMO RISCHIO per sinistri fino a 500.000 euro</w:t>
            </w:r>
          </w:p>
        </w:tc>
        <w:tc>
          <w:tcPr>
            <w:tcW w:w="1426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A53B2C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</w:tr>
      <w:tr w:rsidR="00A53B2C" w:rsidRPr="007E5D3A" w:rsidTr="00EC705A">
        <w:tc>
          <w:tcPr>
            <w:tcW w:w="917" w:type="dxa"/>
            <w:vMerge/>
            <w:vAlign w:val="center"/>
          </w:tcPr>
          <w:p w:rsidR="00A53B2C" w:rsidRPr="007E5D3A" w:rsidRDefault="00A53B2C" w:rsidP="00B37EA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464EC0" w:rsidRPr="00464EC0" w:rsidRDefault="00464EC0" w:rsidP="00464E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4EC0">
              <w:rPr>
                <w:rFonts w:ascii="Times New Roman" w:hAnsi="Times New Roman" w:cs="Times New Roman"/>
                <w:sz w:val="18"/>
                <w:szCs w:val="18"/>
              </w:rPr>
              <w:t>Indennizzo a Primo Rischio Assoluto</w:t>
            </w:r>
          </w:p>
          <w:p w:rsidR="00A53B2C" w:rsidRPr="00464EC0" w:rsidRDefault="00A53B2C" w:rsidP="00B37EAA">
            <w:pPr>
              <w:pStyle w:val="Titolo"/>
              <w:widowControl w:val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64EC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In caso di sinistro indennizzabile a termini di polizza che abbia colpito una o più partite soggette all’applicazione dell’Art. 17 “Assicurazione parziale”, qualora l’ammontare del danno accertato relativamente a dette partite (determinato secondo le stime di cui agli artt. 15, limitatamente alle sole cose danneggiate o distrutte al lordo di eventuali franchigie o scoperti), risulti uguale o inferiore a 1.000.000,00 EURO, la Società indennizza tale danno alle condizioni tutte di polizza senza applicazione della regola proporzionale prevista dal predetto art. 17.</w:t>
            </w:r>
          </w:p>
        </w:tc>
        <w:tc>
          <w:tcPr>
            <w:tcW w:w="2318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Introduzione PRIMO RISCHIO per sinistri fino a 1.000.000 euro</w:t>
            </w:r>
          </w:p>
        </w:tc>
        <w:tc>
          <w:tcPr>
            <w:tcW w:w="1426" w:type="dxa"/>
          </w:tcPr>
          <w:p w:rsidR="00A53B2C" w:rsidRPr="007E5D3A" w:rsidRDefault="00A53B2C" w:rsidP="00B37EAA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A53B2C" w:rsidRPr="007E5D3A" w:rsidRDefault="00EC705A" w:rsidP="00EC705A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</w:tbl>
    <w:p w:rsidR="00A53B2C" w:rsidRDefault="00A53B2C" w:rsidP="0099367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D77623" w:rsidRPr="007E5D3A" w:rsidRDefault="00D77623" w:rsidP="00D7762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7623" w:rsidRPr="007E5D3A" w:rsidRDefault="00D77623" w:rsidP="00D7762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Luogo e Data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D77623" w:rsidRPr="007E5D3A" w:rsidRDefault="00D77623" w:rsidP="00D7762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D77623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D77623" w:rsidRPr="007E5D3A" w:rsidRDefault="00D77623" w:rsidP="00D7762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D77623" w:rsidRPr="007E5D3A" w:rsidRDefault="00D77623" w:rsidP="00D77623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D77623" w:rsidRPr="007E5D3A" w:rsidRDefault="00D77623" w:rsidP="00D7762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D77623" w:rsidRDefault="00D77623" w:rsidP="00D7762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32F66" w:rsidRDefault="00F32F66" w:rsidP="0099367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4294"/>
        <w:gridCol w:w="2318"/>
        <w:gridCol w:w="1426"/>
        <w:gridCol w:w="899"/>
      </w:tblGrid>
      <w:tr w:rsidR="002B2A40" w:rsidRPr="007E5D3A" w:rsidTr="00A521A8">
        <w:tc>
          <w:tcPr>
            <w:tcW w:w="917" w:type="dxa"/>
            <w:vMerge w:val="restart"/>
            <w:vAlign w:val="center"/>
          </w:tcPr>
          <w:p w:rsidR="002B2A40" w:rsidRPr="007E5D3A" w:rsidRDefault="002B2A40" w:rsidP="00A521A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4294" w:type="dxa"/>
          </w:tcPr>
          <w:p w:rsidR="00881995" w:rsidRPr="00881995" w:rsidRDefault="00881995" w:rsidP="00881995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Maggiori Costi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 xml:space="preserve">In alternativa alla maggiorazione del 20% prevista all’art 1 OGGETTO DELL’ASSICURAZIONE per interruzione o intralcio dell’attività, a scelta dell’assicurato, la Società, in caso di sinistro indennizzabile a termini di polizza, che provochi l'interruzione totale o parziale dell'attività assicurata, indennizza le spese straordinarie documentate, purché necessariamente sostenute, per il proseguimento dell'attività. L'indennizzo verrà pertanto limitato alla sola differenza tra le spese effettivamente sostenute e quelle normali necessarie alla prosecuzione dell'attività che sarebbero state sostenute dall'assicurato in assenza di sinistro. 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La garanzia si intende prestata per il tempo strettamente necessario per la riparazione o il rimpiazzano delle cose distrutte o danneggiate e comunque limitata alle maggiori spese sostenute nei sei mesi successivi al momento in cui si è verificato il sinistro.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 xml:space="preserve">La presente garanzia è prestata nel limite di euro </w:t>
            </w:r>
            <w:r w:rsidRPr="00881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250.000,00 </w:t>
            </w: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per sinistro ed anno assicurativo.</w:t>
            </w:r>
          </w:p>
          <w:p w:rsidR="002B2A40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 xml:space="preserve">Agli effetti di questa garanzia non è operante il disposto dell'art.17. </w:t>
            </w:r>
          </w:p>
        </w:tc>
        <w:tc>
          <w:tcPr>
            <w:tcW w:w="2318" w:type="dxa"/>
          </w:tcPr>
          <w:p w:rsidR="002B2A40" w:rsidRPr="007E5D3A" w:rsidRDefault="002B2A40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Introduzione MAGGIORI COSTI fino a 250.000 euro</w:t>
            </w:r>
          </w:p>
        </w:tc>
        <w:tc>
          <w:tcPr>
            <w:tcW w:w="1426" w:type="dxa"/>
          </w:tcPr>
          <w:p w:rsidR="002B2A40" w:rsidRPr="007E5D3A" w:rsidRDefault="002B2A40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2B2A40" w:rsidRPr="007E5D3A" w:rsidRDefault="00DE06A7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2B2A40" w:rsidRPr="007E5D3A" w:rsidTr="004952D7">
        <w:tc>
          <w:tcPr>
            <w:tcW w:w="917" w:type="dxa"/>
            <w:vMerge/>
          </w:tcPr>
          <w:p w:rsidR="002B2A40" w:rsidRPr="007E5D3A" w:rsidRDefault="002B2A40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</w:tcPr>
          <w:p w:rsidR="00881995" w:rsidRPr="00881995" w:rsidRDefault="00881995" w:rsidP="00881995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Maggiori Costi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 xml:space="preserve">In alternativa alla maggiorazione del 20% prevista all’art 1 OGGETTO DELL’ASSICURAZIONE per interruzione o intralcio dell’attività, a scelta dell’assicurato, la Società, in caso di sinistro indennizzabile a termini di polizza, che provochi l'interruzione totale o parziale dell'attività assicurata, indennizza le spese straordinarie documentate, purché necessariamente sostenute, per il proseguimento dell'attività. L'indennizzo verrà pertanto limitato alla sola differenza tra le spese effettivamente sostenute e quelle normali necessarie alla prosecuzione dell'attività che sarebbero state sostenute dall'assicurato in assenza di sinistro. 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La garanzia si intende prestata per il tempo strettamente necessario per la riparazione o il rimpiazzano delle cose distrutte o danneggiate e comunque limitata alle maggiori spese sostenute nei sei mesi successivi al momento in cui si è verificato il sinistro.</w:t>
            </w:r>
          </w:p>
          <w:p w:rsidR="00F92A18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La presente garanzia è prestata nel limite di euro 500.000,00</w:t>
            </w:r>
            <w:r w:rsidRPr="00881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>per sinistro ed anno assicurativo.</w:t>
            </w:r>
          </w:p>
          <w:p w:rsidR="002B2A40" w:rsidRPr="00881995" w:rsidRDefault="00F92A18" w:rsidP="009936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995">
              <w:rPr>
                <w:rFonts w:ascii="Times New Roman" w:hAnsi="Times New Roman" w:cs="Times New Roman"/>
                <w:sz w:val="18"/>
                <w:szCs w:val="18"/>
              </w:rPr>
              <w:t xml:space="preserve">Agli effetti di questa garanzia non è operante il disposto dell'art.17. </w:t>
            </w:r>
          </w:p>
        </w:tc>
        <w:tc>
          <w:tcPr>
            <w:tcW w:w="2318" w:type="dxa"/>
          </w:tcPr>
          <w:p w:rsidR="002B2A40" w:rsidRPr="007E5D3A" w:rsidRDefault="002B2A40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E5D3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Introduzione MAGGIORI COSTI fino a 500.000 euro</w:t>
            </w:r>
          </w:p>
        </w:tc>
        <w:tc>
          <w:tcPr>
            <w:tcW w:w="1426" w:type="dxa"/>
          </w:tcPr>
          <w:p w:rsidR="002B2A40" w:rsidRPr="007E5D3A" w:rsidRDefault="002B2A40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</w:tcPr>
          <w:p w:rsidR="002B2A40" w:rsidRPr="007E5D3A" w:rsidRDefault="00DE06A7" w:rsidP="0099367D">
            <w:pPr>
              <w:keepNext/>
              <w:suppressAutoHyphens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</w:tbl>
    <w:p w:rsidR="00CC5C78" w:rsidRPr="007E5D3A" w:rsidRDefault="00CC5C78" w:rsidP="007E5D3A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B450AB" w:rsidRPr="007E5D3A" w:rsidRDefault="00B450AB" w:rsidP="007E5D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Luogo e Data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4F4870" w:rsidRPr="007E5D3A" w:rsidRDefault="004F4870" w:rsidP="007E5D3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  <w:r w:rsidRPr="007E5D3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4F4870" w:rsidRDefault="004F4870" w:rsidP="007E5D3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AD3C0E" w:rsidRPr="007E5D3A" w:rsidRDefault="00AD3C0E" w:rsidP="007E5D3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Pr="007E5D3A" w:rsidRDefault="004F4870" w:rsidP="007E5D3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4F4870" w:rsidRPr="007E5D3A" w:rsidRDefault="004F4870" w:rsidP="007E5D3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 w:rsidRPr="007E5D3A"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 w:rsidRPr="007E5D3A"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 w:rsidRPr="007E5D3A"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4F4870" w:rsidRPr="007E5D3A" w:rsidRDefault="004F4870" w:rsidP="007E5D3A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Pr="007E5D3A" w:rsidRDefault="004F4870" w:rsidP="007E5D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 w:rsidRPr="007E5D3A"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4F4870" w:rsidRPr="007E5D3A" w:rsidRDefault="004F4870" w:rsidP="007E5D3A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Pr="007E5D3A" w:rsidRDefault="004F4870" w:rsidP="007E5D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Pr="007E5D3A" w:rsidRDefault="004F4870" w:rsidP="007E5D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E5D3A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Default="004F4870" w:rsidP="004F487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A36CA" w:rsidRDefault="00DA36CA"/>
    <w:sectPr w:rsidR="00DA3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terthu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67B"/>
    <w:multiLevelType w:val="hybridMultilevel"/>
    <w:tmpl w:val="C7E4256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F5094"/>
    <w:multiLevelType w:val="hybridMultilevel"/>
    <w:tmpl w:val="1BFCD896"/>
    <w:lvl w:ilvl="0" w:tplc="43E281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3EE3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B23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3A86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AE5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F02F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EC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CC98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7E55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70"/>
    <w:rsid w:val="000151FD"/>
    <w:rsid w:val="000A33A9"/>
    <w:rsid w:val="001F59E3"/>
    <w:rsid w:val="00213B9E"/>
    <w:rsid w:val="002B2A40"/>
    <w:rsid w:val="002F1FBC"/>
    <w:rsid w:val="003046AB"/>
    <w:rsid w:val="00370DE8"/>
    <w:rsid w:val="003F3175"/>
    <w:rsid w:val="00464EC0"/>
    <w:rsid w:val="004952D7"/>
    <w:rsid w:val="004D1099"/>
    <w:rsid w:val="004F4870"/>
    <w:rsid w:val="00581564"/>
    <w:rsid w:val="00610712"/>
    <w:rsid w:val="00612086"/>
    <w:rsid w:val="00675B95"/>
    <w:rsid w:val="006E27FE"/>
    <w:rsid w:val="00720030"/>
    <w:rsid w:val="00740294"/>
    <w:rsid w:val="007E5D3A"/>
    <w:rsid w:val="00824EF4"/>
    <w:rsid w:val="00881995"/>
    <w:rsid w:val="008B5C2A"/>
    <w:rsid w:val="008B6633"/>
    <w:rsid w:val="008C74C7"/>
    <w:rsid w:val="00986F5C"/>
    <w:rsid w:val="0099367D"/>
    <w:rsid w:val="00A07009"/>
    <w:rsid w:val="00A30995"/>
    <w:rsid w:val="00A521A8"/>
    <w:rsid w:val="00A53B2C"/>
    <w:rsid w:val="00AC03F8"/>
    <w:rsid w:val="00AD3C0E"/>
    <w:rsid w:val="00AE29A4"/>
    <w:rsid w:val="00B450AB"/>
    <w:rsid w:val="00B902BA"/>
    <w:rsid w:val="00BA6154"/>
    <w:rsid w:val="00C43D63"/>
    <w:rsid w:val="00CC5C78"/>
    <w:rsid w:val="00D77623"/>
    <w:rsid w:val="00D86B1C"/>
    <w:rsid w:val="00DA36CA"/>
    <w:rsid w:val="00DE06A7"/>
    <w:rsid w:val="00DF1CB2"/>
    <w:rsid w:val="00E72F8C"/>
    <w:rsid w:val="00EC705A"/>
    <w:rsid w:val="00F32F66"/>
    <w:rsid w:val="00F92A18"/>
    <w:rsid w:val="00FC29D5"/>
    <w:rsid w:val="00F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2016-07-14T08:05:00Z</dcterms:created>
  <dcterms:modified xsi:type="dcterms:W3CDTF">2016-08-01T10:21:00Z</dcterms:modified>
</cp:coreProperties>
</file>